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val="0"/>
        <w:spacing w:line="360" w:lineRule="auto"/>
        <w:ind w:right="420"/>
        <w:jc w:val="left"/>
        <w:textAlignment w:val="auto"/>
        <w:rPr>
          <w:rFonts w:hint="eastAsia" w:ascii="宋体" w:hAnsi="宋体" w:eastAsia="宋体" w:cs="宋体"/>
          <w:b/>
          <w:bCs w:val="0"/>
          <w:color w:val="000000"/>
          <w:sz w:val="28"/>
          <w:szCs w:val="28"/>
          <w:lang w:val="en-US" w:eastAsia="zh-CN"/>
        </w:rPr>
      </w:pPr>
      <w:r>
        <w:rPr>
          <w:rFonts w:hint="eastAsia" w:ascii="宋体" w:hAnsi="宋体" w:cs="宋体"/>
          <w:b/>
          <w:bCs w:val="0"/>
          <w:color w:val="000000"/>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jc w:val="center"/>
        <w:textAlignment w:val="auto"/>
        <w:outlineLvl w:val="9"/>
        <w:rPr>
          <w:rFonts w:hint="eastAsia" w:ascii="黑体" w:hAnsi="黑体" w:eastAsia="黑体" w:cs="黑体"/>
          <w:b/>
          <w:bCs w:val="0"/>
          <w:color w:val="000000"/>
          <w:sz w:val="48"/>
          <w:szCs w:val="48"/>
          <w:lang w:val="en-US" w:eastAsia="zh-CN"/>
        </w:rPr>
      </w:pPr>
      <w:r>
        <w:rPr>
          <w:rFonts w:hint="eastAsia" w:ascii="黑体" w:hAnsi="黑体" w:eastAsia="黑体" w:cs="黑体"/>
          <w:b/>
          <w:bCs w:val="0"/>
          <w:color w:val="000000"/>
          <w:sz w:val="48"/>
          <w:szCs w:val="48"/>
          <w:lang w:val="en-US" w:eastAsia="zh-CN"/>
        </w:rPr>
        <w:t>长沙农村商业银行股份有限公司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jc w:val="center"/>
        <w:textAlignment w:val="auto"/>
        <w:outlineLvl w:val="9"/>
        <w:rPr>
          <w:rFonts w:hint="eastAsia" w:ascii="黑体" w:hAnsi="黑体" w:eastAsia="黑体" w:cs="黑体"/>
          <w:b/>
          <w:bCs w:val="0"/>
          <w:color w:val="000000"/>
          <w:sz w:val="48"/>
          <w:szCs w:val="48"/>
          <w:lang w:val="en-US" w:eastAsia="zh-CN"/>
        </w:rPr>
      </w:pPr>
      <w:r>
        <w:rPr>
          <w:rFonts w:hint="eastAsia" w:ascii="黑体" w:hAnsi="黑体" w:eastAsia="黑体" w:cs="黑体"/>
          <w:b/>
          <w:bCs w:val="0"/>
          <w:color w:val="000000"/>
          <w:sz w:val="48"/>
          <w:szCs w:val="48"/>
          <w:lang w:val="en-US" w:eastAsia="zh-CN"/>
        </w:rPr>
        <w:t>员工补充医疗保险服务方案</w:t>
      </w:r>
    </w:p>
    <w:p>
      <w:pPr>
        <w:widowControl w:val="0"/>
        <w:numPr>
          <w:ilvl w:val="0"/>
          <w:numId w:val="0"/>
        </w:numPr>
        <w:wordWrap/>
        <w:adjustRightInd/>
        <w:snapToGrid w:val="0"/>
        <w:spacing w:line="360" w:lineRule="auto"/>
        <w:ind w:right="420"/>
        <w:jc w:val="center"/>
        <w:textAlignment w:val="auto"/>
        <w:rPr>
          <w:rFonts w:hint="eastAsia" w:ascii="宋体" w:hAnsi="宋体" w:eastAsia="宋体" w:cs="宋体"/>
          <w:b/>
          <w:bCs w:val="0"/>
          <w:color w:val="000000"/>
          <w:sz w:val="28"/>
          <w:szCs w:val="28"/>
          <w:lang w:val="en-US" w:eastAsia="zh-CN"/>
        </w:rPr>
      </w:pPr>
    </w:p>
    <w:p>
      <w:pPr>
        <w:spacing w:beforeLines="50" w:line="360" w:lineRule="auto"/>
        <w:jc w:val="left"/>
        <w:rPr>
          <w:rFonts w:hint="eastAsia" w:ascii="宋体" w:hAnsi="宋体" w:eastAsia="宋体"/>
          <w:b/>
          <w:bCs/>
          <w:sz w:val="28"/>
          <w:szCs w:val="28"/>
          <w:lang w:eastAsia="zh-CN"/>
        </w:rPr>
      </w:pPr>
      <w:r>
        <w:rPr>
          <w:rFonts w:hint="eastAsia" w:ascii="宋体" w:hAnsi="宋体"/>
          <w:b/>
          <w:bCs/>
          <w:sz w:val="28"/>
          <w:szCs w:val="28"/>
          <w:lang w:eastAsia="zh-CN"/>
        </w:rPr>
        <w:t>一、保障内容</w:t>
      </w:r>
    </w:p>
    <w:p>
      <w:pPr>
        <w:spacing w:beforeLines="50" w:line="360" w:lineRule="auto"/>
        <w:jc w:val="center"/>
        <w:rPr>
          <w:rFonts w:ascii="宋体" w:hAnsi="宋体"/>
          <w:b/>
          <w:bCs/>
          <w:color w:val="auto"/>
          <w:sz w:val="28"/>
          <w:szCs w:val="28"/>
        </w:rPr>
      </w:pPr>
      <w:r>
        <w:rPr>
          <w:rFonts w:hint="eastAsia" w:ascii="宋体" w:hAnsi="宋体"/>
          <w:b/>
          <w:bCs/>
          <w:sz w:val="28"/>
          <w:szCs w:val="28"/>
        </w:rPr>
        <w:t xml:space="preserve">表1  </w:t>
      </w:r>
      <w:r>
        <w:rPr>
          <w:rFonts w:hint="eastAsia" w:ascii="宋体" w:hAnsi="宋体"/>
          <w:b/>
          <w:bCs/>
          <w:color w:val="FF0000"/>
          <w:sz w:val="28"/>
          <w:szCs w:val="28"/>
          <w:shd w:val="clear" w:color="FFFFFF" w:fill="D9D9D9"/>
          <w:lang w:val="en-US" w:eastAsia="zh-CN"/>
        </w:rPr>
        <w:t>60周岁（含）以</w:t>
      </w:r>
      <w:r>
        <w:rPr>
          <w:rFonts w:hint="eastAsia" w:ascii="宋体" w:hAnsi="宋体"/>
          <w:b/>
          <w:bCs/>
          <w:color w:val="FF0000"/>
          <w:sz w:val="28"/>
          <w:szCs w:val="28"/>
          <w:highlight w:val="green"/>
          <w:shd w:val="clear" w:color="FFFFFF" w:fill="D9D9D9"/>
          <w:lang w:val="en-US" w:eastAsia="zh-CN"/>
        </w:rPr>
        <w:t>下</w:t>
      </w:r>
      <w:r>
        <w:rPr>
          <w:rFonts w:hint="eastAsia" w:ascii="宋体" w:hAnsi="宋体"/>
          <w:b/>
          <w:bCs/>
          <w:color w:val="auto"/>
          <w:sz w:val="28"/>
          <w:szCs w:val="28"/>
        </w:rPr>
        <w:t>员工</w:t>
      </w:r>
      <w:r>
        <w:rPr>
          <w:rFonts w:hint="eastAsia" w:ascii="宋体" w:hAnsi="宋体"/>
          <w:b/>
          <w:bCs/>
          <w:color w:val="auto"/>
          <w:sz w:val="28"/>
          <w:szCs w:val="28"/>
          <w:lang w:eastAsia="zh-CN"/>
        </w:rPr>
        <w:t>——</w:t>
      </w:r>
      <w:r>
        <w:rPr>
          <w:rFonts w:hint="eastAsia" w:ascii="宋体" w:hAnsi="宋体"/>
          <w:b/>
          <w:bCs/>
          <w:color w:val="auto"/>
          <w:sz w:val="28"/>
          <w:szCs w:val="28"/>
        </w:rPr>
        <w:t>被保险人年度保险计划</w:t>
      </w:r>
    </w:p>
    <w:tbl>
      <w:tblPr>
        <w:tblStyle w:val="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972"/>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7" w:type="dxa"/>
            <w:shd w:val="clear" w:color="auto" w:fill="FABF8F"/>
            <w:vAlign w:val="center"/>
          </w:tcPr>
          <w:p>
            <w:pPr>
              <w:rPr>
                <w:rFonts w:hint="default" w:ascii="宋体" w:hAnsi="宋体" w:cs="Arial"/>
                <w:b/>
                <w:sz w:val="24"/>
                <w:szCs w:val="24"/>
              </w:rPr>
            </w:pPr>
            <w:r>
              <w:rPr>
                <w:rFonts w:hint="eastAsia" w:ascii="宋体" w:hAnsi="宋体"/>
                <w:b/>
                <w:bCs/>
                <w:sz w:val="28"/>
                <w:szCs w:val="28"/>
              </w:rPr>
              <w:br w:type="page"/>
            </w:r>
            <w:r>
              <w:rPr>
                <w:rFonts w:hint="eastAsia" w:ascii="宋体" w:hAnsi="宋体" w:cs="Arial"/>
                <w:b/>
                <w:sz w:val="24"/>
                <w:szCs w:val="24"/>
              </w:rPr>
              <w:t>序号</w:t>
            </w:r>
          </w:p>
        </w:tc>
        <w:tc>
          <w:tcPr>
            <w:tcW w:w="2410" w:type="dxa"/>
            <w:shd w:val="clear" w:color="auto" w:fill="FABF8F"/>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b/>
                <w:sz w:val="24"/>
                <w:szCs w:val="24"/>
              </w:rPr>
            </w:pPr>
            <w:r>
              <w:rPr>
                <w:rFonts w:hint="eastAsia" w:ascii="宋体" w:hAnsi="宋体" w:cs="Arial"/>
                <w:b/>
                <w:sz w:val="24"/>
                <w:szCs w:val="24"/>
              </w:rPr>
              <w:t>保险服务项目名称</w:t>
            </w:r>
          </w:p>
        </w:tc>
        <w:tc>
          <w:tcPr>
            <w:tcW w:w="1972" w:type="dxa"/>
            <w:shd w:val="clear" w:color="auto" w:fill="FABF8F"/>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b/>
                <w:sz w:val="24"/>
                <w:szCs w:val="24"/>
              </w:rPr>
            </w:pPr>
            <w:r>
              <w:rPr>
                <w:rFonts w:hint="eastAsia" w:ascii="宋体" w:hAnsi="宋体" w:cs="Arial"/>
                <w:b/>
                <w:bCs/>
                <w:color w:val="000000"/>
                <w:sz w:val="24"/>
                <w:szCs w:val="24"/>
              </w:rPr>
              <w:t>保险额度</w:t>
            </w:r>
          </w:p>
        </w:tc>
        <w:tc>
          <w:tcPr>
            <w:tcW w:w="4548" w:type="dxa"/>
            <w:shd w:val="clear" w:color="auto" w:fill="FABF8F"/>
            <w:vAlign w:val="center"/>
          </w:tcPr>
          <w:p>
            <w:pPr>
              <w:keepNext w:val="0"/>
              <w:keepLines w:val="0"/>
              <w:suppressLineNumbers w:val="0"/>
              <w:spacing w:before="0" w:beforeAutospacing="0" w:after="0" w:afterAutospacing="0"/>
              <w:ind w:left="0" w:right="0"/>
              <w:jc w:val="center"/>
              <w:rPr>
                <w:rFonts w:hint="default" w:ascii="宋体" w:hAnsi="宋体" w:cs="Arial"/>
                <w:b/>
                <w:sz w:val="24"/>
                <w:szCs w:val="24"/>
              </w:rPr>
            </w:pPr>
            <w:r>
              <w:rPr>
                <w:rFonts w:hint="eastAsia" w:ascii="宋体" w:hAnsi="宋体" w:cs="Arial"/>
                <w:b/>
                <w:sz w:val="24"/>
                <w:szCs w:val="24"/>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1</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eastAsia="宋体" w:cs="宋体"/>
                <w:b w:val="0"/>
                <w:bCs/>
                <w:i w:val="0"/>
                <w:color w:val="000000"/>
                <w:kern w:val="0"/>
                <w:sz w:val="20"/>
                <w:szCs w:val="20"/>
                <w:u w:val="none"/>
                <w:lang w:val="en-US" w:eastAsia="zh-CN"/>
              </w:rPr>
              <w:t>疾病住院补充医疗保险</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rPr>
              <w:t>5万元</w:t>
            </w:r>
            <w:r>
              <w:rPr>
                <w:rFonts w:hint="eastAsia" w:ascii="宋体" w:hAnsi="宋体" w:cs="Arial"/>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default" w:ascii="宋体" w:hAnsi="宋体" w:cs="Arial"/>
                <w:szCs w:val="21"/>
              </w:rPr>
            </w:pPr>
            <w:r>
              <w:rPr>
                <w:rFonts w:hint="eastAsia" w:ascii="宋体" w:hAnsi="宋体"/>
                <w:szCs w:val="21"/>
              </w:rPr>
              <w:t>见责任描述第1项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2</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重大疾病保险</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lang w:val="en-US" w:eastAsia="zh-CN"/>
              </w:rPr>
              <w:t>30</w:t>
            </w:r>
            <w:r>
              <w:rPr>
                <w:rFonts w:hint="eastAsia" w:ascii="宋体" w:hAnsi="宋体" w:cs="Arial"/>
                <w:b/>
                <w:szCs w:val="21"/>
              </w:rPr>
              <w:t>万元</w:t>
            </w:r>
            <w:r>
              <w:rPr>
                <w:rFonts w:hint="eastAsia" w:ascii="宋体" w:hAnsi="宋体" w:cs="Arial"/>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default" w:ascii="宋体" w:hAnsi="宋体" w:cs="Arial"/>
                <w:szCs w:val="21"/>
              </w:rPr>
            </w:pPr>
            <w:r>
              <w:rPr>
                <w:rFonts w:hint="eastAsia" w:ascii="宋体" w:hAnsi="宋体"/>
                <w:b/>
                <w:szCs w:val="21"/>
                <w:lang w:val="en-US" w:eastAsia="zh-CN"/>
              </w:rPr>
              <w:t>33种重大疾病，6种轻症，轻症30%赔付，30天等待期后，经医院确诊初次发生重大疾病的，全额给付保险金。</w:t>
            </w:r>
            <w:r>
              <w:rPr>
                <w:rFonts w:hint="eastAsia" w:ascii="宋体" w:hAnsi="宋体"/>
                <w:szCs w:val="21"/>
              </w:rPr>
              <w:t>见责任描述第2项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宋体"/>
                <w:szCs w:val="21"/>
              </w:rPr>
            </w:pPr>
            <w:r>
              <w:rPr>
                <w:rFonts w:hint="eastAsia" w:ascii="宋体" w:hAnsi="宋体" w:cs="宋体"/>
                <w:szCs w:val="21"/>
              </w:rPr>
              <w:t>3</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宋体"/>
                <w:szCs w:val="21"/>
              </w:rPr>
              <w:t>补充高额住院医疗</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lang w:val="en-US" w:eastAsia="zh-CN"/>
              </w:rPr>
              <w:t>10</w:t>
            </w:r>
            <w:r>
              <w:rPr>
                <w:rFonts w:hint="eastAsia" w:ascii="宋体" w:hAnsi="宋体" w:cs="Arial"/>
                <w:b/>
                <w:szCs w:val="21"/>
              </w:rPr>
              <w:t>万元</w:t>
            </w:r>
            <w:r>
              <w:rPr>
                <w:rFonts w:hint="eastAsia" w:ascii="宋体" w:hAnsi="宋体" w:cs="Arial"/>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default" w:ascii="宋体" w:hAnsi="宋体" w:cs="Arial"/>
                <w:szCs w:val="21"/>
              </w:rPr>
            </w:pPr>
            <w:r>
              <w:rPr>
                <w:rFonts w:hint="eastAsia" w:ascii="宋体" w:hAnsi="宋体"/>
                <w:szCs w:val="21"/>
              </w:rPr>
              <w:t>见责任描述第3项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4</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szCs w:val="21"/>
              </w:rPr>
            </w:pPr>
            <w:r>
              <w:rPr>
                <w:rFonts w:hint="eastAsia" w:ascii="宋体" w:hAnsi="宋体" w:cs="宋体"/>
                <w:b w:val="0"/>
                <w:bCs/>
                <w:i w:val="0"/>
                <w:color w:val="000000"/>
                <w:kern w:val="0"/>
                <w:sz w:val="20"/>
                <w:szCs w:val="20"/>
                <w:u w:val="none"/>
                <w:lang w:val="en-US" w:eastAsia="zh-CN"/>
              </w:rPr>
              <w:t>疾病</w:t>
            </w:r>
            <w:r>
              <w:rPr>
                <w:rFonts w:hint="eastAsia" w:ascii="宋体" w:hAnsi="宋体" w:eastAsia="宋体" w:cs="宋体"/>
                <w:b w:val="0"/>
                <w:bCs/>
                <w:i w:val="0"/>
                <w:color w:val="000000"/>
                <w:kern w:val="0"/>
                <w:sz w:val="20"/>
                <w:szCs w:val="20"/>
                <w:u w:val="none"/>
                <w:lang w:val="en-US" w:eastAsia="zh-CN"/>
              </w:rPr>
              <w:t>门诊医疗</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2</w:t>
            </w:r>
            <w:r>
              <w:rPr>
                <w:rFonts w:hint="eastAsia" w:ascii="宋体" w:hAnsi="宋体"/>
                <w:b/>
                <w:szCs w:val="21"/>
              </w:rPr>
              <w:t>万元</w:t>
            </w:r>
            <w:r>
              <w:rPr>
                <w:rFonts w:hint="eastAsia" w:ascii="宋体" w:hAnsi="宋体"/>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b/>
                <w:szCs w:val="21"/>
              </w:rPr>
              <w:t>合理费用90%赔付，次免赔</w:t>
            </w:r>
            <w:r>
              <w:rPr>
                <w:rFonts w:hint="eastAsia" w:ascii="宋体" w:hAnsi="宋体"/>
                <w:b/>
                <w:szCs w:val="21"/>
                <w:lang w:val="en-US" w:eastAsia="zh-CN"/>
              </w:rPr>
              <w:t>100</w:t>
            </w:r>
            <w:r>
              <w:rPr>
                <w:rFonts w:hint="eastAsia" w:ascii="宋体" w:hAnsi="宋体"/>
                <w:b/>
                <w:szCs w:val="21"/>
              </w:rPr>
              <w:t>元,每日最高赔付900元。</w:t>
            </w:r>
            <w:r>
              <w:rPr>
                <w:rFonts w:hint="eastAsia" w:ascii="宋体" w:hAnsi="宋体"/>
                <w:szCs w:val="21"/>
              </w:rPr>
              <w:t>见责任描述第</w:t>
            </w:r>
            <w:r>
              <w:rPr>
                <w:rFonts w:hint="eastAsia" w:ascii="宋体" w:hAnsi="宋体"/>
                <w:szCs w:val="21"/>
                <w:lang w:val="en-US" w:eastAsia="zh-CN"/>
              </w:rPr>
              <w:t>4</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5</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szCs w:val="21"/>
              </w:rPr>
            </w:pPr>
            <w:r>
              <w:rPr>
                <w:rFonts w:hint="eastAsia" w:ascii="宋体" w:hAnsi="宋体"/>
                <w:szCs w:val="21"/>
              </w:rPr>
              <w:t>意外医疗</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2</w:t>
            </w:r>
            <w:r>
              <w:rPr>
                <w:rFonts w:hint="eastAsia" w:ascii="宋体" w:hAnsi="宋体"/>
                <w:b/>
                <w:szCs w:val="21"/>
              </w:rPr>
              <w:t>万元</w:t>
            </w:r>
            <w:r>
              <w:rPr>
                <w:rFonts w:hint="eastAsia" w:ascii="宋体" w:hAnsi="宋体"/>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符合社保规定的合理医疗费用，100%赔付。</w:t>
            </w:r>
          </w:p>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见责任描述第</w:t>
            </w:r>
            <w:r>
              <w:rPr>
                <w:rFonts w:hint="eastAsia" w:ascii="宋体" w:hAnsi="宋体"/>
                <w:szCs w:val="21"/>
                <w:lang w:val="en-US" w:eastAsia="zh-CN"/>
              </w:rPr>
              <w:t>5</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eastAsia="宋体" w:cs="Arial"/>
                <w:szCs w:val="21"/>
                <w:lang w:val="en-US" w:eastAsia="zh-CN"/>
              </w:rPr>
            </w:pPr>
            <w:r>
              <w:rPr>
                <w:rFonts w:hint="eastAsia" w:ascii="宋体" w:hAnsi="宋体" w:cs="Arial"/>
                <w:szCs w:val="21"/>
                <w:lang w:val="en-US" w:eastAsia="zh-CN"/>
              </w:rPr>
              <w:t>6</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疾病身故</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eastAsia="宋体"/>
                <w:b/>
                <w:szCs w:val="21"/>
                <w:lang w:val="en-US" w:eastAsia="zh-CN"/>
              </w:rPr>
            </w:pPr>
            <w:r>
              <w:rPr>
                <w:rFonts w:hint="eastAsia" w:ascii="宋体" w:hAnsi="宋体"/>
                <w:b/>
                <w:szCs w:val="21"/>
                <w:lang w:val="en-US" w:eastAsia="zh-CN"/>
              </w:rPr>
              <w:t>30万元/年</w:t>
            </w:r>
          </w:p>
        </w:tc>
        <w:tc>
          <w:tcPr>
            <w:tcW w:w="4548" w:type="dxa"/>
            <w:vAlign w:val="center"/>
          </w:tcPr>
          <w:p>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szCs w:val="21"/>
              </w:rPr>
              <w:t>见责任描述第</w:t>
            </w:r>
            <w:r>
              <w:rPr>
                <w:rFonts w:hint="eastAsia" w:ascii="宋体" w:hAnsi="宋体"/>
                <w:szCs w:val="21"/>
                <w:lang w:val="en-US" w:eastAsia="zh-CN"/>
              </w:rPr>
              <w:t>6</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eastAsia="宋体" w:cs="Arial"/>
                <w:szCs w:val="21"/>
                <w:lang w:val="en-US" w:eastAsia="zh-CN"/>
              </w:rPr>
            </w:pPr>
            <w:r>
              <w:rPr>
                <w:rFonts w:hint="eastAsia" w:ascii="宋体" w:hAnsi="宋体" w:cs="Arial"/>
                <w:szCs w:val="21"/>
                <w:lang w:val="en-US" w:eastAsia="zh-CN"/>
              </w:rPr>
              <w:t>7</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szCs w:val="21"/>
                <w:lang w:eastAsia="zh-CN"/>
              </w:rPr>
              <w:t>意外身故</w:t>
            </w:r>
            <w:r>
              <w:rPr>
                <w:rFonts w:hint="eastAsia" w:ascii="宋体" w:hAnsi="宋体"/>
                <w:szCs w:val="21"/>
                <w:lang w:val="en-US" w:eastAsia="zh-CN"/>
              </w:rPr>
              <w:t>/残疾</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lang w:val="en-US" w:eastAsia="zh-CN"/>
              </w:rPr>
              <w:t>30</w:t>
            </w:r>
            <w:r>
              <w:rPr>
                <w:rFonts w:hint="eastAsia" w:ascii="宋体" w:hAnsi="宋体" w:cs="Arial"/>
                <w:b/>
                <w:szCs w:val="21"/>
              </w:rPr>
              <w:t>万元</w:t>
            </w:r>
            <w:r>
              <w:rPr>
                <w:rFonts w:hint="eastAsia" w:ascii="宋体" w:hAnsi="宋体" w:cs="Arial"/>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见责任描述第</w:t>
            </w:r>
            <w:r>
              <w:rPr>
                <w:rFonts w:hint="eastAsia" w:ascii="宋体" w:hAnsi="宋体"/>
                <w:szCs w:val="21"/>
                <w:lang w:val="en-US" w:eastAsia="zh-CN"/>
              </w:rPr>
              <w:t>7</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eastAsia="宋体" w:cs="Arial"/>
                <w:szCs w:val="21"/>
                <w:lang w:val="en-US" w:eastAsia="zh-CN"/>
              </w:rPr>
            </w:pPr>
            <w:r>
              <w:rPr>
                <w:rFonts w:hint="eastAsia" w:ascii="宋体" w:hAnsi="宋体" w:cs="Arial"/>
                <w:szCs w:val="21"/>
                <w:lang w:val="en-US" w:eastAsia="zh-CN"/>
              </w:rPr>
              <w:t>8</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szCs w:val="21"/>
              </w:rPr>
            </w:pPr>
            <w:r>
              <w:rPr>
                <w:rFonts w:hint="eastAsia" w:ascii="宋体" w:hAnsi="宋体"/>
                <w:szCs w:val="21"/>
              </w:rPr>
              <w:t>交通意外身故（飞机</w:t>
            </w:r>
            <w:r>
              <w:rPr>
                <w:rFonts w:hint="eastAsia" w:ascii="宋体" w:hAnsi="宋体"/>
                <w:szCs w:val="21"/>
                <w:lang w:eastAsia="zh-CN"/>
              </w:rPr>
              <w:t>、火</w:t>
            </w:r>
            <w:r>
              <w:rPr>
                <w:rFonts w:hint="eastAsia" w:ascii="宋体" w:hAnsi="宋体"/>
                <w:szCs w:val="21"/>
              </w:rPr>
              <w:t>车、轮船、汽车</w:t>
            </w:r>
            <w:r>
              <w:rPr>
                <w:rFonts w:hint="eastAsia" w:ascii="宋体" w:hAnsi="宋体"/>
                <w:szCs w:val="21"/>
                <w:lang w:val="en-US" w:eastAsia="zh-CN"/>
              </w:rPr>
              <w:t>)</w:t>
            </w:r>
          </w:p>
        </w:tc>
        <w:tc>
          <w:tcPr>
            <w:tcW w:w="1972"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lang w:val="en-US" w:eastAsia="zh-CN"/>
              </w:rPr>
              <w:t>30</w:t>
            </w:r>
            <w:r>
              <w:rPr>
                <w:rFonts w:hint="eastAsia" w:ascii="宋体" w:hAnsi="宋体" w:cs="Arial"/>
                <w:b/>
                <w:szCs w:val="21"/>
              </w:rPr>
              <w:t>万元</w:t>
            </w:r>
            <w:r>
              <w:rPr>
                <w:rFonts w:hint="eastAsia" w:ascii="宋体" w:hAnsi="宋体" w:cs="Arial"/>
                <w:b/>
                <w:szCs w:val="21"/>
                <w:lang w:val="en-US" w:eastAsia="zh-CN"/>
              </w:rPr>
              <w:t>/年</w:t>
            </w:r>
          </w:p>
        </w:tc>
        <w:tc>
          <w:tcPr>
            <w:tcW w:w="4548"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见责任描述第</w:t>
            </w:r>
            <w:r>
              <w:rPr>
                <w:rFonts w:hint="eastAsia" w:ascii="宋体" w:hAnsi="宋体"/>
                <w:szCs w:val="21"/>
                <w:lang w:val="en-US" w:eastAsia="zh-CN"/>
              </w:rPr>
              <w:t>8</w:t>
            </w:r>
            <w:r>
              <w:rPr>
                <w:rFonts w:hint="eastAsia" w:ascii="宋体" w:hAnsi="宋体"/>
                <w:szCs w:val="21"/>
              </w:rPr>
              <w:t>项</w:t>
            </w:r>
          </w:p>
        </w:tc>
      </w:tr>
    </w:tbl>
    <w:p>
      <w:pPr>
        <w:rPr>
          <w:rFonts w:hint="eastAsia" w:ascii="宋体" w:hAnsi="宋体"/>
          <w:b/>
          <w:bCs/>
          <w:sz w:val="28"/>
          <w:szCs w:val="28"/>
        </w:rPr>
      </w:pPr>
    </w:p>
    <w:p>
      <w:pPr>
        <w:pStyle w:val="2"/>
        <w:rPr>
          <w:rFonts w:hint="eastAsia" w:ascii="宋体" w:hAnsi="宋体"/>
          <w:b/>
          <w:bCs/>
          <w:sz w:val="28"/>
          <w:szCs w:val="28"/>
        </w:rPr>
      </w:pPr>
    </w:p>
    <w:p>
      <w:pPr>
        <w:pStyle w:val="2"/>
        <w:rPr>
          <w:rFonts w:hint="eastAsia" w:ascii="宋体" w:hAnsi="宋体"/>
          <w:b/>
          <w:bCs/>
          <w:sz w:val="28"/>
          <w:szCs w:val="28"/>
        </w:rPr>
      </w:pPr>
    </w:p>
    <w:p>
      <w:pPr>
        <w:pStyle w:val="2"/>
        <w:rPr>
          <w:rFonts w:hint="eastAsia" w:ascii="宋体" w:hAnsi="宋体"/>
          <w:b/>
          <w:bCs/>
          <w:sz w:val="28"/>
          <w:szCs w:val="28"/>
        </w:rPr>
      </w:pPr>
    </w:p>
    <w:p>
      <w:pPr>
        <w:pStyle w:val="2"/>
        <w:rPr>
          <w:rFonts w:hint="eastAsia" w:ascii="宋体" w:hAnsi="宋体"/>
          <w:b/>
          <w:bCs/>
          <w:sz w:val="28"/>
          <w:szCs w:val="28"/>
        </w:rPr>
      </w:pPr>
    </w:p>
    <w:p>
      <w:pPr>
        <w:spacing w:beforeLines="50" w:line="360" w:lineRule="auto"/>
        <w:jc w:val="center"/>
        <w:rPr>
          <w:rFonts w:ascii="宋体" w:hAnsi="宋体"/>
          <w:b/>
          <w:bCs/>
          <w:color w:val="FF0000"/>
          <w:sz w:val="28"/>
          <w:szCs w:val="28"/>
        </w:rPr>
      </w:pPr>
      <w:r>
        <w:rPr>
          <w:rFonts w:hint="eastAsia" w:ascii="宋体" w:hAnsi="宋体"/>
          <w:b/>
          <w:bCs/>
          <w:sz w:val="28"/>
          <w:szCs w:val="28"/>
        </w:rPr>
        <w:t>表</w:t>
      </w:r>
      <w:r>
        <w:rPr>
          <w:rFonts w:hint="eastAsia" w:ascii="宋体" w:hAnsi="宋体"/>
          <w:b/>
          <w:bCs/>
          <w:sz w:val="28"/>
          <w:szCs w:val="28"/>
          <w:lang w:val="en-US" w:eastAsia="zh-CN"/>
        </w:rPr>
        <w:t xml:space="preserve">2 </w:t>
      </w:r>
      <w:r>
        <w:rPr>
          <w:rFonts w:hint="eastAsia" w:ascii="宋体" w:hAnsi="宋体"/>
          <w:b/>
          <w:bCs/>
          <w:color w:val="FF0000"/>
          <w:sz w:val="28"/>
          <w:szCs w:val="28"/>
        </w:rPr>
        <w:t xml:space="preserve"> </w:t>
      </w:r>
      <w:r>
        <w:rPr>
          <w:rFonts w:hint="eastAsia" w:ascii="宋体" w:hAnsi="宋体"/>
          <w:b/>
          <w:bCs/>
          <w:color w:val="FF0000"/>
          <w:sz w:val="28"/>
          <w:szCs w:val="28"/>
          <w:lang w:val="en-US" w:eastAsia="zh-CN"/>
        </w:rPr>
        <w:t>60周岁（不含）以</w:t>
      </w:r>
      <w:r>
        <w:rPr>
          <w:rFonts w:hint="eastAsia" w:ascii="宋体" w:hAnsi="宋体"/>
          <w:b/>
          <w:bCs/>
          <w:color w:val="FF0000"/>
          <w:sz w:val="28"/>
          <w:szCs w:val="28"/>
          <w:highlight w:val="green"/>
          <w:lang w:val="en-US" w:eastAsia="zh-CN"/>
        </w:rPr>
        <w:t>上</w:t>
      </w:r>
      <w:r>
        <w:rPr>
          <w:rFonts w:hint="eastAsia" w:ascii="宋体" w:hAnsi="宋体"/>
          <w:b/>
          <w:bCs/>
          <w:sz w:val="28"/>
          <w:szCs w:val="28"/>
        </w:rPr>
        <w:t>员工</w:t>
      </w:r>
      <w:r>
        <w:rPr>
          <w:rFonts w:hint="eastAsia" w:ascii="宋体" w:hAnsi="宋体"/>
          <w:b/>
          <w:bCs/>
          <w:sz w:val="28"/>
          <w:szCs w:val="28"/>
          <w:lang w:eastAsia="zh-CN"/>
        </w:rPr>
        <w:t>——</w:t>
      </w:r>
      <w:r>
        <w:rPr>
          <w:rFonts w:hint="eastAsia" w:ascii="宋体" w:hAnsi="宋体"/>
          <w:b/>
          <w:bCs/>
          <w:sz w:val="28"/>
          <w:szCs w:val="28"/>
        </w:rPr>
        <w:t>被</w:t>
      </w:r>
      <w:r>
        <w:rPr>
          <w:rFonts w:hint="eastAsia" w:ascii="宋体" w:hAnsi="宋体"/>
          <w:b/>
          <w:bCs/>
          <w:color w:val="auto"/>
          <w:sz w:val="28"/>
          <w:szCs w:val="28"/>
        </w:rPr>
        <w:t>保险人年度保险计划</w:t>
      </w:r>
    </w:p>
    <w:tbl>
      <w:tblPr>
        <w:tblStyle w:val="8"/>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410"/>
        <w:gridCol w:w="127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17" w:type="dxa"/>
            <w:shd w:val="clear" w:color="auto" w:fill="FABF8F"/>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b/>
                <w:sz w:val="24"/>
                <w:szCs w:val="24"/>
              </w:rPr>
            </w:pPr>
            <w:r>
              <w:rPr>
                <w:rFonts w:hint="eastAsia" w:ascii="宋体" w:hAnsi="宋体" w:cs="Arial"/>
                <w:b/>
                <w:sz w:val="24"/>
                <w:szCs w:val="24"/>
              </w:rPr>
              <w:t>序号</w:t>
            </w:r>
          </w:p>
        </w:tc>
        <w:tc>
          <w:tcPr>
            <w:tcW w:w="2410" w:type="dxa"/>
            <w:shd w:val="clear" w:color="auto" w:fill="FABF8F"/>
            <w:vAlign w:val="center"/>
          </w:tcPr>
          <w:p>
            <w:pPr>
              <w:keepNext w:val="0"/>
              <w:keepLines w:val="0"/>
              <w:suppressLineNumbers w:val="0"/>
              <w:tabs>
                <w:tab w:val="left" w:pos="6210"/>
              </w:tabs>
              <w:spacing w:before="0" w:beforeAutospacing="0" w:after="0" w:afterAutospacing="0"/>
              <w:ind w:left="0" w:right="-202" w:rightChars="-96"/>
              <w:jc w:val="center"/>
              <w:rPr>
                <w:rFonts w:hint="default" w:ascii="宋体" w:hAnsi="宋体" w:cs="Arial"/>
                <w:b/>
                <w:sz w:val="24"/>
                <w:szCs w:val="24"/>
              </w:rPr>
            </w:pPr>
            <w:r>
              <w:rPr>
                <w:rFonts w:hint="eastAsia" w:ascii="宋体" w:hAnsi="宋体" w:cs="Arial"/>
                <w:b/>
                <w:sz w:val="24"/>
                <w:szCs w:val="24"/>
              </w:rPr>
              <w:t>保险服务项目名称</w:t>
            </w:r>
          </w:p>
        </w:tc>
        <w:tc>
          <w:tcPr>
            <w:tcW w:w="1275" w:type="dxa"/>
            <w:shd w:val="clear" w:color="auto" w:fill="FABF8F"/>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b/>
                <w:sz w:val="24"/>
                <w:szCs w:val="24"/>
              </w:rPr>
            </w:pPr>
            <w:r>
              <w:rPr>
                <w:rFonts w:hint="eastAsia" w:ascii="宋体" w:hAnsi="宋体" w:cs="Arial"/>
                <w:b/>
                <w:bCs/>
                <w:color w:val="000000"/>
                <w:sz w:val="24"/>
                <w:szCs w:val="24"/>
              </w:rPr>
              <w:t>保险额度</w:t>
            </w:r>
          </w:p>
        </w:tc>
        <w:tc>
          <w:tcPr>
            <w:tcW w:w="5245" w:type="dxa"/>
            <w:shd w:val="clear" w:color="auto" w:fill="FABF8F"/>
            <w:vAlign w:val="center"/>
          </w:tcPr>
          <w:p>
            <w:pPr>
              <w:keepNext w:val="0"/>
              <w:keepLines w:val="0"/>
              <w:suppressLineNumbers w:val="0"/>
              <w:spacing w:before="0" w:beforeAutospacing="0" w:after="0" w:afterAutospacing="0"/>
              <w:ind w:left="0" w:right="0" w:firstLine="1424" w:firstLineChars="591"/>
              <w:jc w:val="center"/>
              <w:rPr>
                <w:rFonts w:hint="default" w:ascii="宋体" w:hAnsi="宋体" w:cs="Arial"/>
                <w:b/>
                <w:sz w:val="24"/>
                <w:szCs w:val="24"/>
              </w:rPr>
            </w:pPr>
            <w:r>
              <w:rPr>
                <w:rFonts w:hint="eastAsia" w:ascii="宋体" w:hAnsi="宋体" w:cs="Arial"/>
                <w:b/>
                <w:sz w:val="24"/>
                <w:szCs w:val="24"/>
              </w:rPr>
              <w:t>赔付方式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1</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疾病住院补充医疗保险</w:t>
            </w:r>
          </w:p>
        </w:tc>
        <w:tc>
          <w:tcPr>
            <w:tcW w:w="1275"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lang w:val="en-US" w:eastAsia="zh-CN"/>
              </w:rPr>
              <w:t>10</w:t>
            </w:r>
            <w:r>
              <w:rPr>
                <w:rFonts w:hint="eastAsia" w:ascii="宋体" w:hAnsi="宋体" w:cs="Arial"/>
                <w:b/>
                <w:szCs w:val="21"/>
              </w:rPr>
              <w:t>万元</w:t>
            </w:r>
            <w:r>
              <w:rPr>
                <w:rFonts w:hint="eastAsia" w:ascii="宋体" w:hAnsi="宋体" w:cs="Arial"/>
                <w:b/>
                <w:szCs w:val="21"/>
                <w:lang w:val="en-US" w:eastAsia="zh-CN"/>
              </w:rPr>
              <w:t>/年</w:t>
            </w:r>
          </w:p>
        </w:tc>
        <w:tc>
          <w:tcPr>
            <w:tcW w:w="5245" w:type="dxa"/>
            <w:vAlign w:val="center"/>
          </w:tcPr>
          <w:p>
            <w:pPr>
              <w:keepNext w:val="0"/>
              <w:keepLines w:val="0"/>
              <w:suppressLineNumbers w:val="0"/>
              <w:spacing w:before="0" w:beforeAutospacing="0" w:after="0" w:afterAutospacing="0"/>
              <w:ind w:left="0" w:right="0"/>
              <w:jc w:val="center"/>
              <w:rPr>
                <w:rFonts w:hint="default" w:ascii="宋体" w:hAnsi="宋体" w:cs="Arial"/>
                <w:szCs w:val="21"/>
              </w:rPr>
            </w:pPr>
            <w:r>
              <w:rPr>
                <w:rFonts w:hint="eastAsia" w:ascii="宋体" w:hAnsi="宋体"/>
                <w:szCs w:val="21"/>
              </w:rPr>
              <w:t>见责任描述第1项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2</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Arial"/>
                <w:szCs w:val="21"/>
              </w:rPr>
              <w:t>重大疾病保险</w:t>
            </w:r>
          </w:p>
        </w:tc>
        <w:tc>
          <w:tcPr>
            <w:tcW w:w="1275"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eastAsia" w:ascii="宋体" w:hAnsi="宋体" w:cs="Arial"/>
                <w:b/>
                <w:szCs w:val="21"/>
                <w:lang w:val="en-US" w:eastAsia="zh-CN"/>
              </w:rPr>
              <w:t>2</w:t>
            </w:r>
            <w:r>
              <w:rPr>
                <w:rFonts w:hint="default" w:ascii="宋体" w:hAnsi="宋体" w:cs="Arial"/>
                <w:b/>
                <w:szCs w:val="21"/>
              </w:rPr>
              <w:t>0</w:t>
            </w:r>
            <w:r>
              <w:rPr>
                <w:rFonts w:hint="eastAsia" w:ascii="宋体" w:hAnsi="宋体" w:cs="Arial"/>
                <w:b/>
                <w:szCs w:val="21"/>
              </w:rPr>
              <w:t>万元</w:t>
            </w:r>
            <w:r>
              <w:rPr>
                <w:rFonts w:hint="eastAsia" w:ascii="宋体" w:hAnsi="宋体" w:cs="Arial"/>
                <w:b/>
                <w:szCs w:val="21"/>
                <w:lang w:val="en-US" w:eastAsia="zh-CN"/>
              </w:rPr>
              <w:t>/年</w:t>
            </w:r>
          </w:p>
        </w:tc>
        <w:tc>
          <w:tcPr>
            <w:tcW w:w="5245" w:type="dxa"/>
            <w:vAlign w:val="center"/>
          </w:tcPr>
          <w:p>
            <w:pPr>
              <w:keepNext w:val="0"/>
              <w:keepLines w:val="0"/>
              <w:suppressLineNumbers w:val="0"/>
              <w:spacing w:before="0" w:beforeAutospacing="0" w:after="0" w:afterAutospacing="0"/>
              <w:ind w:left="0" w:right="0"/>
              <w:jc w:val="center"/>
              <w:rPr>
                <w:rFonts w:hint="default" w:ascii="宋体" w:hAnsi="宋体" w:cs="Arial"/>
                <w:szCs w:val="21"/>
              </w:rPr>
            </w:pPr>
            <w:r>
              <w:rPr>
                <w:rFonts w:hint="eastAsia" w:ascii="宋体" w:hAnsi="宋体"/>
                <w:b/>
                <w:szCs w:val="21"/>
                <w:lang w:val="en-US" w:eastAsia="zh-CN"/>
              </w:rPr>
              <w:t>33种重大疾病，6种轻症，轻症30%赔付，30天等待期后，经医院确诊初次发生重大疾病的，全额给付保险金。</w:t>
            </w:r>
            <w:r>
              <w:rPr>
                <w:rFonts w:hint="eastAsia" w:ascii="宋体" w:hAnsi="宋体"/>
                <w:szCs w:val="21"/>
              </w:rPr>
              <w:t>见责任描述第2项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宋体"/>
                <w:szCs w:val="21"/>
              </w:rPr>
            </w:pPr>
            <w:r>
              <w:rPr>
                <w:rFonts w:hint="eastAsia" w:ascii="宋体" w:hAnsi="宋体" w:cs="宋体"/>
                <w:szCs w:val="21"/>
              </w:rPr>
              <w:t>3</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Arial"/>
                <w:szCs w:val="21"/>
              </w:rPr>
            </w:pPr>
            <w:r>
              <w:rPr>
                <w:rFonts w:hint="eastAsia" w:ascii="宋体" w:hAnsi="宋体" w:cs="宋体"/>
                <w:szCs w:val="21"/>
              </w:rPr>
              <w:t>补充高额住院</w:t>
            </w:r>
            <w:r>
              <w:rPr>
                <w:rFonts w:hint="eastAsia" w:ascii="宋体" w:hAnsi="宋体" w:cs="Arial"/>
                <w:szCs w:val="21"/>
              </w:rPr>
              <w:t>医疗</w:t>
            </w:r>
          </w:p>
        </w:tc>
        <w:tc>
          <w:tcPr>
            <w:tcW w:w="1275"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Arial"/>
                <w:b/>
                <w:szCs w:val="21"/>
                <w:lang w:val="en-US" w:eastAsia="zh-CN"/>
              </w:rPr>
            </w:pPr>
            <w:r>
              <w:rPr>
                <w:rFonts w:hint="default" w:ascii="宋体" w:hAnsi="宋体" w:cs="Arial"/>
                <w:b/>
                <w:szCs w:val="21"/>
              </w:rPr>
              <w:t>10</w:t>
            </w:r>
            <w:r>
              <w:rPr>
                <w:rFonts w:hint="eastAsia" w:ascii="宋体" w:hAnsi="宋体" w:cs="Arial"/>
                <w:b/>
                <w:szCs w:val="21"/>
              </w:rPr>
              <w:t>万元</w:t>
            </w:r>
            <w:r>
              <w:rPr>
                <w:rFonts w:hint="eastAsia" w:ascii="宋体" w:hAnsi="宋体" w:cs="Arial"/>
                <w:b/>
                <w:szCs w:val="21"/>
                <w:lang w:val="en-US" w:eastAsia="zh-CN"/>
              </w:rPr>
              <w:t>/年</w:t>
            </w:r>
          </w:p>
        </w:tc>
        <w:tc>
          <w:tcPr>
            <w:tcW w:w="5245" w:type="dxa"/>
            <w:vAlign w:val="center"/>
          </w:tcPr>
          <w:p>
            <w:pPr>
              <w:keepNext w:val="0"/>
              <w:keepLines w:val="0"/>
              <w:suppressLineNumbers w:val="0"/>
              <w:spacing w:before="0" w:beforeAutospacing="0" w:after="0" w:afterAutospacing="0"/>
              <w:ind w:left="0" w:right="0"/>
              <w:jc w:val="center"/>
              <w:rPr>
                <w:rFonts w:hint="default" w:ascii="宋体" w:hAnsi="宋体" w:cs="Arial"/>
                <w:szCs w:val="21"/>
              </w:rPr>
            </w:pPr>
            <w:r>
              <w:rPr>
                <w:rFonts w:hint="eastAsia" w:ascii="宋体" w:hAnsi="宋体"/>
                <w:szCs w:val="21"/>
              </w:rPr>
              <w:t>见责任描述第3项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7"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宋体"/>
                <w:szCs w:val="21"/>
              </w:rPr>
            </w:pPr>
            <w:r>
              <w:rPr>
                <w:rFonts w:hint="eastAsia" w:ascii="宋体" w:hAnsi="宋体" w:cs="宋体"/>
                <w:szCs w:val="21"/>
              </w:rPr>
              <w:t>4</w:t>
            </w:r>
          </w:p>
        </w:tc>
        <w:tc>
          <w:tcPr>
            <w:tcW w:w="2410" w:type="dxa"/>
            <w:vAlign w:val="center"/>
          </w:tcPr>
          <w:p>
            <w:pPr>
              <w:keepNext w:val="0"/>
              <w:keepLines w:val="0"/>
              <w:suppressLineNumbers w:val="0"/>
              <w:tabs>
                <w:tab w:val="left" w:pos="6210"/>
              </w:tabs>
              <w:spacing w:before="0" w:beforeAutospacing="0" w:after="0" w:afterAutospacing="0"/>
              <w:ind w:left="0" w:right="0"/>
              <w:jc w:val="center"/>
              <w:rPr>
                <w:rFonts w:hint="default" w:ascii="宋体" w:hAnsi="宋体" w:cs="宋体"/>
                <w:szCs w:val="21"/>
              </w:rPr>
            </w:pPr>
            <w:r>
              <w:rPr>
                <w:rFonts w:hint="eastAsia" w:ascii="宋体" w:hAnsi="宋体" w:cs="宋体"/>
                <w:szCs w:val="21"/>
              </w:rPr>
              <w:t>疾病门诊医疗</w:t>
            </w:r>
          </w:p>
        </w:tc>
        <w:tc>
          <w:tcPr>
            <w:tcW w:w="1275"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cs="宋体"/>
                <w:b/>
                <w:szCs w:val="21"/>
                <w:lang w:val="en-US" w:eastAsia="zh-CN"/>
              </w:rPr>
              <w:t>2</w:t>
            </w:r>
            <w:r>
              <w:rPr>
                <w:rFonts w:hint="eastAsia" w:ascii="宋体" w:hAnsi="宋体" w:cs="宋体"/>
                <w:b/>
                <w:szCs w:val="21"/>
              </w:rPr>
              <w:t>万元</w:t>
            </w:r>
            <w:r>
              <w:rPr>
                <w:rFonts w:hint="eastAsia" w:ascii="宋体" w:hAnsi="宋体" w:cs="宋体"/>
                <w:b/>
                <w:szCs w:val="21"/>
                <w:lang w:val="en-US" w:eastAsia="zh-CN"/>
              </w:rPr>
              <w:t>/年</w:t>
            </w:r>
          </w:p>
        </w:tc>
        <w:tc>
          <w:tcPr>
            <w:tcW w:w="5245" w:type="dxa"/>
            <w:vAlign w:val="center"/>
          </w:tcPr>
          <w:p>
            <w:pPr>
              <w:keepNext w:val="0"/>
              <w:keepLines w:val="0"/>
              <w:suppressLineNumbers w:val="0"/>
              <w:tabs>
                <w:tab w:val="left" w:pos="6210"/>
              </w:tabs>
              <w:spacing w:before="0" w:beforeAutospacing="0" w:after="0" w:afterAutospacing="0"/>
              <w:ind w:left="0" w:right="0"/>
              <w:jc w:val="center"/>
              <w:rPr>
                <w:rFonts w:hint="eastAsia" w:ascii="宋体" w:hAnsi="宋体" w:cs="宋体"/>
                <w:b/>
                <w:szCs w:val="21"/>
              </w:rPr>
            </w:pPr>
            <w:r>
              <w:rPr>
                <w:rFonts w:hint="eastAsia" w:ascii="宋体" w:hAnsi="宋体" w:cs="宋体"/>
                <w:b/>
                <w:szCs w:val="21"/>
              </w:rPr>
              <w:t>合理费用</w:t>
            </w:r>
            <w:r>
              <w:rPr>
                <w:rFonts w:hint="default" w:ascii="宋体" w:hAnsi="宋体" w:cs="宋体"/>
                <w:b/>
                <w:szCs w:val="21"/>
              </w:rPr>
              <w:t>90%</w:t>
            </w:r>
            <w:r>
              <w:rPr>
                <w:rFonts w:hint="eastAsia" w:ascii="宋体" w:hAnsi="宋体" w:cs="宋体"/>
                <w:b/>
                <w:szCs w:val="21"/>
              </w:rPr>
              <w:t>赔付，次免赔额</w:t>
            </w:r>
            <w:r>
              <w:rPr>
                <w:rFonts w:hint="eastAsia" w:ascii="宋体" w:hAnsi="宋体" w:cs="宋体"/>
                <w:b/>
                <w:szCs w:val="21"/>
                <w:lang w:val="en-US" w:eastAsia="zh-CN"/>
              </w:rPr>
              <w:t>1</w:t>
            </w:r>
            <w:r>
              <w:rPr>
                <w:rFonts w:hint="default" w:ascii="宋体" w:hAnsi="宋体" w:cs="宋体"/>
                <w:b/>
                <w:szCs w:val="21"/>
              </w:rPr>
              <w:t>00</w:t>
            </w:r>
            <w:r>
              <w:rPr>
                <w:rFonts w:hint="eastAsia" w:ascii="宋体" w:hAnsi="宋体" w:cs="宋体"/>
                <w:b/>
                <w:szCs w:val="21"/>
              </w:rPr>
              <w:t>元，每日最高赔付</w:t>
            </w:r>
            <w:r>
              <w:rPr>
                <w:rFonts w:hint="eastAsia" w:ascii="宋体" w:hAnsi="宋体" w:cs="宋体"/>
                <w:b/>
                <w:szCs w:val="21"/>
                <w:lang w:val="en-US" w:eastAsia="zh-CN"/>
              </w:rPr>
              <w:t>9</w:t>
            </w:r>
            <w:r>
              <w:rPr>
                <w:rFonts w:hint="eastAsia" w:ascii="宋体" w:hAnsi="宋体" w:cs="宋体"/>
                <w:b/>
                <w:szCs w:val="21"/>
              </w:rPr>
              <w:t>00元。</w:t>
            </w:r>
          </w:p>
          <w:p>
            <w:pPr>
              <w:keepNext w:val="0"/>
              <w:keepLines w:val="0"/>
              <w:suppressLineNumbers w:val="0"/>
              <w:tabs>
                <w:tab w:val="left" w:pos="6210"/>
              </w:tabs>
              <w:spacing w:before="0" w:beforeAutospacing="0" w:after="0" w:afterAutospacing="0"/>
              <w:ind w:left="0" w:right="0"/>
              <w:jc w:val="center"/>
              <w:rPr>
                <w:rFonts w:hint="default" w:ascii="宋体" w:hAnsi="宋体" w:cs="宋体"/>
                <w:b/>
                <w:szCs w:val="21"/>
              </w:rPr>
            </w:pPr>
            <w:r>
              <w:rPr>
                <w:rFonts w:hint="eastAsia" w:ascii="宋体" w:hAnsi="宋体"/>
                <w:szCs w:val="21"/>
              </w:rPr>
              <w:t>见责任描述第</w:t>
            </w:r>
            <w:r>
              <w:rPr>
                <w:rFonts w:hint="eastAsia" w:ascii="宋体" w:hAnsi="宋体"/>
                <w:szCs w:val="21"/>
                <w:lang w:val="en-US" w:eastAsia="zh-CN"/>
              </w:rPr>
              <w:t>4</w:t>
            </w:r>
            <w:r>
              <w:rPr>
                <w:rFonts w:hint="eastAsia" w:ascii="宋体" w:hAnsi="宋体"/>
                <w:szCs w:val="21"/>
              </w:rPr>
              <w:t>项</w:t>
            </w:r>
          </w:p>
        </w:tc>
      </w:tr>
    </w:tbl>
    <w:p>
      <w:pPr>
        <w:widowControl w:val="0"/>
        <w:numPr>
          <w:ilvl w:val="0"/>
          <w:numId w:val="0"/>
        </w:numPr>
        <w:wordWrap/>
        <w:adjustRightInd/>
        <w:snapToGrid w:val="0"/>
        <w:spacing w:line="360" w:lineRule="auto"/>
        <w:ind w:right="420"/>
        <w:jc w:val="center"/>
        <w:textAlignment w:val="auto"/>
        <w:rPr>
          <w:rFonts w:hint="eastAsia" w:ascii="宋体" w:hAnsi="宋体" w:eastAsia="宋体" w:cs="宋体"/>
          <w:b/>
          <w:bCs w:val="0"/>
          <w:color w:val="000000"/>
          <w:sz w:val="28"/>
          <w:szCs w:val="28"/>
          <w:lang w:val="en-US" w:eastAsia="zh-CN"/>
        </w:rPr>
      </w:pPr>
    </w:p>
    <w:p>
      <w:pPr>
        <w:widowControl w:val="0"/>
        <w:numPr>
          <w:ilvl w:val="0"/>
          <w:numId w:val="0"/>
        </w:numPr>
        <w:wordWrap/>
        <w:adjustRightInd/>
        <w:snapToGrid w:val="0"/>
        <w:spacing w:line="360" w:lineRule="auto"/>
        <w:ind w:right="420"/>
        <w:jc w:val="center"/>
        <w:textAlignment w:val="auto"/>
        <w:rPr>
          <w:rFonts w:hint="eastAsia" w:ascii="宋体" w:hAnsi="宋体" w:eastAsia="宋体" w:cs="宋体"/>
          <w:b/>
          <w:bCs w:val="0"/>
          <w:color w:val="000000"/>
          <w:sz w:val="28"/>
          <w:szCs w:val="28"/>
          <w:lang w:val="en-US" w:eastAsia="zh-CN"/>
        </w:rPr>
      </w:pPr>
    </w:p>
    <w:p>
      <w:pPr>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br w:type="page"/>
      </w:r>
      <w:bookmarkStart w:id="0" w:name="_GoBack"/>
      <w:bookmarkEnd w:id="0"/>
    </w:p>
    <w:p>
      <w:pPr>
        <w:spacing w:beforeLines="50" w:line="360" w:lineRule="auto"/>
        <w:jc w:val="left"/>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二、保险责任具体描述</w:t>
      </w:r>
    </w:p>
    <w:p>
      <w:pPr>
        <w:widowControl w:val="0"/>
        <w:numPr>
          <w:ilvl w:val="0"/>
          <w:numId w:val="0"/>
        </w:numPr>
        <w:tabs>
          <w:tab w:val="left" w:pos="6210"/>
        </w:tabs>
        <w:wordWrap/>
        <w:adjustRightInd/>
        <w:snapToGrid/>
        <w:spacing w:before="0" w:after="0" w:line="520" w:lineRule="exact"/>
        <w:ind w:left="0" w:leftChars="0" w:firstLine="301" w:firstLineChars="100"/>
        <w:jc w:val="both"/>
        <w:textAlignment w:val="auto"/>
        <w:outlineLvl w:val="9"/>
        <w:rPr>
          <w:rFonts w:hint="eastAsia" w:ascii="仿宋" w:hAnsi="仿宋" w:eastAsia="仿宋" w:cs="Arial"/>
          <w:b/>
          <w:sz w:val="28"/>
          <w:szCs w:val="28"/>
          <w:lang w:val="en-US" w:eastAsia="zh-CN"/>
        </w:rPr>
      </w:pPr>
      <w:r>
        <w:rPr>
          <w:rFonts w:hint="eastAsia" w:ascii="仿宋" w:hAnsi="仿宋" w:eastAsia="仿宋" w:cs="仿宋"/>
          <w:b/>
          <w:bCs w:val="0"/>
          <w:i w:val="0"/>
          <w:color w:val="000000"/>
          <w:kern w:val="0"/>
          <w:sz w:val="30"/>
          <w:szCs w:val="30"/>
          <w:u w:val="none"/>
          <w:lang w:val="en-US" w:eastAsia="zh-CN"/>
        </w:rPr>
        <w:t xml:space="preserve">  </w:t>
      </w:r>
      <w:r>
        <w:rPr>
          <w:rFonts w:hint="eastAsia" w:ascii="仿宋" w:hAnsi="仿宋" w:eastAsia="仿宋" w:cs="Arial"/>
          <w:b/>
          <w:sz w:val="28"/>
          <w:szCs w:val="28"/>
          <w:lang w:val="en-US" w:eastAsia="zh-CN"/>
        </w:rPr>
        <w:t>1.疾病住院医疗保险</w:t>
      </w:r>
    </w:p>
    <w:p>
      <w:pPr>
        <w:keepNext w:val="0"/>
        <w:keepLines w:val="0"/>
        <w:pageBreakBefore w:val="0"/>
        <w:widowControl w:val="0"/>
        <w:tabs>
          <w:tab w:val="left" w:pos="6210"/>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投保人为被保险人首次投保本保险或非连续投保本保险时，自该被保险人本保险生效日起30日为等待期，</w:t>
      </w:r>
      <w:r>
        <w:rPr>
          <w:rFonts w:hint="eastAsia" w:ascii="仿宋" w:hAnsi="仿宋" w:eastAsia="仿宋" w:cs="Arial"/>
          <w:color w:val="FF0000"/>
          <w:sz w:val="28"/>
          <w:szCs w:val="28"/>
          <w:highlight w:val="yellow"/>
          <w:u w:val="single"/>
          <w:lang w:val="en-US" w:eastAsia="zh-CN"/>
        </w:rPr>
        <w:t>续保人员</w:t>
      </w:r>
      <w:r>
        <w:rPr>
          <w:rFonts w:hint="eastAsia" w:ascii="仿宋" w:hAnsi="仿宋" w:eastAsia="仿宋" w:cs="Arial"/>
          <w:color w:val="auto"/>
          <w:sz w:val="28"/>
          <w:szCs w:val="28"/>
          <w:highlight w:val="yellow"/>
          <w:u w:val="single"/>
        </w:rPr>
        <w:t>（</w:t>
      </w:r>
      <w:r>
        <w:rPr>
          <w:rFonts w:hint="eastAsia" w:ascii="仿宋_GB2312" w:hAnsi="仿宋" w:eastAsia="仿宋_GB2312"/>
          <w:color w:val="auto"/>
          <w:sz w:val="28"/>
          <w:szCs w:val="28"/>
          <w:highlight w:val="yellow"/>
          <w:u w:val="single"/>
        </w:rPr>
        <w:t>指202</w:t>
      </w:r>
      <w:r>
        <w:rPr>
          <w:rFonts w:hint="eastAsia" w:ascii="仿宋_GB2312" w:hAnsi="仿宋" w:eastAsia="仿宋_GB2312"/>
          <w:color w:val="auto"/>
          <w:sz w:val="28"/>
          <w:szCs w:val="28"/>
          <w:highlight w:val="yellow"/>
          <w:u w:val="single"/>
          <w:lang w:val="en-US" w:eastAsia="zh-CN"/>
        </w:rPr>
        <w:t>4</w:t>
      </w:r>
      <w:r>
        <w:rPr>
          <w:rFonts w:hint="eastAsia" w:ascii="仿宋_GB2312" w:hAnsi="仿宋" w:eastAsia="仿宋_GB2312"/>
          <w:color w:val="auto"/>
          <w:sz w:val="28"/>
          <w:szCs w:val="28"/>
          <w:highlight w:val="yellow"/>
          <w:u w:val="single"/>
        </w:rPr>
        <w:t>年9月</w:t>
      </w:r>
      <w:r>
        <w:rPr>
          <w:rFonts w:hint="eastAsia" w:ascii="仿宋_GB2312" w:hAnsi="仿宋" w:eastAsia="仿宋_GB2312"/>
          <w:color w:val="auto"/>
          <w:sz w:val="28"/>
          <w:szCs w:val="28"/>
          <w:highlight w:val="yellow"/>
          <w:u w:val="single"/>
          <w:lang w:val="en-US" w:eastAsia="zh-CN"/>
        </w:rPr>
        <w:t>29</w:t>
      </w:r>
      <w:r>
        <w:rPr>
          <w:rFonts w:hint="eastAsia" w:ascii="仿宋_GB2312" w:hAnsi="仿宋" w:eastAsia="仿宋_GB2312"/>
          <w:color w:val="auto"/>
          <w:sz w:val="28"/>
          <w:szCs w:val="28"/>
          <w:highlight w:val="yellow"/>
          <w:u w:val="single"/>
        </w:rPr>
        <w:t>日</w:t>
      </w:r>
      <w:r>
        <w:rPr>
          <w:rFonts w:hint="eastAsia" w:ascii="仿宋_GB2312" w:hAnsi="仿宋" w:eastAsia="仿宋_GB2312"/>
          <w:color w:val="auto"/>
          <w:sz w:val="28"/>
          <w:szCs w:val="28"/>
          <w:highlight w:val="yellow"/>
          <w:u w:val="single"/>
          <w:lang w:val="en-US" w:eastAsia="zh-CN"/>
        </w:rPr>
        <w:t>24</w:t>
      </w:r>
      <w:r>
        <w:rPr>
          <w:rFonts w:hint="eastAsia" w:ascii="仿宋_GB2312" w:hAnsi="仿宋" w:eastAsia="仿宋_GB2312"/>
          <w:color w:val="auto"/>
          <w:sz w:val="28"/>
          <w:szCs w:val="28"/>
          <w:highlight w:val="yellow"/>
          <w:u w:val="single"/>
        </w:rPr>
        <w:t>时00分</w:t>
      </w:r>
      <w:r>
        <w:rPr>
          <w:rFonts w:hint="eastAsia" w:ascii="仿宋_GB2312" w:hAnsi="仿宋" w:eastAsia="仿宋_GB2312"/>
          <w:color w:val="auto"/>
          <w:sz w:val="28"/>
          <w:szCs w:val="28"/>
          <w:highlight w:val="yellow"/>
          <w:u w:val="single"/>
          <w:lang w:eastAsia="zh-CN"/>
        </w:rPr>
        <w:t>招标人</w:t>
      </w:r>
      <w:r>
        <w:rPr>
          <w:rFonts w:hint="eastAsia" w:ascii="仿宋_GB2312" w:hAnsi="仿宋" w:eastAsia="仿宋_GB2312"/>
          <w:color w:val="auto"/>
          <w:sz w:val="28"/>
          <w:szCs w:val="28"/>
          <w:highlight w:val="yellow"/>
          <w:u w:val="single"/>
        </w:rPr>
        <w:t>已</w:t>
      </w:r>
      <w:r>
        <w:rPr>
          <w:rFonts w:ascii="仿宋_GB2312" w:hAnsi="仿宋" w:eastAsia="仿宋_GB2312"/>
          <w:color w:val="auto"/>
          <w:sz w:val="28"/>
          <w:szCs w:val="28"/>
          <w:highlight w:val="yellow"/>
          <w:u w:val="single"/>
        </w:rPr>
        <w:t>参保员工补充医疗保险的</w:t>
      </w:r>
      <w:r>
        <w:rPr>
          <w:rFonts w:hint="eastAsia" w:ascii="仿宋_GB2312" w:hAnsi="仿宋" w:eastAsia="仿宋_GB2312"/>
          <w:color w:val="auto"/>
          <w:sz w:val="28"/>
          <w:szCs w:val="28"/>
          <w:highlight w:val="yellow"/>
          <w:u w:val="single"/>
        </w:rPr>
        <w:t>所有</w:t>
      </w:r>
      <w:r>
        <w:rPr>
          <w:rFonts w:ascii="仿宋_GB2312" w:hAnsi="仿宋" w:eastAsia="仿宋_GB2312"/>
          <w:color w:val="auto"/>
          <w:sz w:val="28"/>
          <w:szCs w:val="28"/>
          <w:highlight w:val="yellow"/>
          <w:u w:val="single"/>
        </w:rPr>
        <w:t>员工</w:t>
      </w:r>
      <w:r>
        <w:rPr>
          <w:rFonts w:hint="eastAsia" w:ascii="仿宋_GB2312" w:hAnsi="仿宋" w:eastAsia="仿宋_GB2312"/>
          <w:color w:val="auto"/>
          <w:sz w:val="28"/>
          <w:szCs w:val="28"/>
          <w:highlight w:val="yellow"/>
          <w:u w:val="single"/>
        </w:rPr>
        <w:t>，</w:t>
      </w:r>
      <w:r>
        <w:rPr>
          <w:rFonts w:ascii="仿宋_GB2312" w:hAnsi="仿宋" w:eastAsia="仿宋_GB2312"/>
          <w:color w:val="auto"/>
          <w:sz w:val="28"/>
          <w:szCs w:val="28"/>
          <w:highlight w:val="yellow"/>
          <w:u w:val="single"/>
        </w:rPr>
        <w:t>下同</w:t>
      </w:r>
      <w:r>
        <w:rPr>
          <w:rFonts w:ascii="仿宋" w:hAnsi="仿宋" w:eastAsia="仿宋" w:cs="Arial"/>
          <w:color w:val="auto"/>
          <w:sz w:val="28"/>
          <w:szCs w:val="28"/>
          <w:highlight w:val="yellow"/>
          <w:u w:val="single"/>
        </w:rPr>
        <w:t>）</w:t>
      </w:r>
      <w:r>
        <w:rPr>
          <w:rFonts w:hint="eastAsia" w:ascii="仿宋" w:hAnsi="仿宋" w:eastAsia="仿宋" w:cs="Arial"/>
          <w:color w:val="FF0000"/>
          <w:sz w:val="28"/>
          <w:szCs w:val="28"/>
          <w:highlight w:val="yellow"/>
          <w:u w:val="single"/>
          <w:lang w:val="en-US" w:eastAsia="zh-CN"/>
        </w:rPr>
        <w:t>均无等待期</w:t>
      </w:r>
      <w:r>
        <w:rPr>
          <w:rFonts w:hint="eastAsia" w:ascii="仿宋" w:hAnsi="仿宋" w:eastAsia="仿宋" w:cs="Arial"/>
          <w:sz w:val="28"/>
          <w:szCs w:val="28"/>
          <w:lang w:val="en-US" w:eastAsia="zh-CN"/>
        </w:rPr>
        <w:t>。被保险人在等待期内发生疾病，由此而导致的住院治疗，无论住院治疗时间与生效之日是否间隔超过30日，保险人均不承担给付保险金的责任。被保险人在保险期间内发生且延续至合同满期日后30日内的住院治疗，保险人承担给付保险金的责任。</w:t>
      </w:r>
    </w:p>
    <w:p>
      <w:pPr>
        <w:keepNext w:val="0"/>
        <w:keepLines w:val="0"/>
        <w:pageBreakBefore w:val="0"/>
        <w:widowControl w:val="0"/>
        <w:tabs>
          <w:tab w:val="left" w:pos="6210"/>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在本保险有效期间内，已参加投保所在地社保的被保险人因疾病进行住院治疗，保险人就其实际支出的符合当地社会基本医疗保险管理规定的当地社保报销后剩余的由个人自付的合理且必要的住院医疗费用（含部分自付、个人比例自付和起付线部分）90%比例赔付，</w:t>
      </w:r>
      <w:r>
        <w:rPr>
          <w:rFonts w:hint="eastAsia" w:ascii="仿宋" w:hAnsi="仿宋" w:eastAsia="仿宋" w:cs="Arial"/>
          <w:kern w:val="2"/>
          <w:sz w:val="28"/>
          <w:szCs w:val="28"/>
          <w:highlight w:val="none"/>
          <w:lang w:bidi="ar"/>
        </w:rPr>
        <w:t>需承担被保险人的既往病史责任。</w:t>
      </w:r>
      <w:r>
        <w:rPr>
          <w:rFonts w:hint="eastAsia" w:ascii="仿宋" w:hAnsi="仿宋" w:eastAsia="仿宋" w:cs="Arial"/>
          <w:sz w:val="28"/>
          <w:szCs w:val="28"/>
          <w:lang w:val="en-US" w:eastAsia="zh-CN"/>
        </w:rPr>
        <w:t>保险年度累计赔付金额以保险金额为限。被保险人不论一次或多次住院治疗，保险人均按上述约定给付补充住院医疗保险金，但累计给付金额以该被保险人的保险金额为限，累计给付金额达到其保险金额时，对该被保险人该项保险责任终止。</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2.重大疾病保险</w:t>
      </w:r>
    </w:p>
    <w:p>
      <w:pPr>
        <w:keepNext w:val="0"/>
        <w:keepLines w:val="0"/>
        <w:pageBreakBefore w:val="0"/>
        <w:widowControl w:val="0"/>
        <w:tabs>
          <w:tab w:val="left" w:pos="6210"/>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投保人为被保险人首次投保本保险或非连续投保本保险时，自该被保险人本保险生效日起30日为等待期，</w:t>
      </w:r>
      <w:r>
        <w:rPr>
          <w:rFonts w:hint="eastAsia" w:ascii="仿宋" w:hAnsi="仿宋" w:eastAsia="仿宋" w:cs="Arial"/>
          <w:color w:val="FF0000"/>
          <w:sz w:val="28"/>
          <w:szCs w:val="28"/>
          <w:highlight w:val="yellow"/>
          <w:u w:val="single"/>
          <w:lang w:val="en-US" w:eastAsia="zh-CN"/>
        </w:rPr>
        <w:t>续保人员均无等待期</w:t>
      </w:r>
      <w:r>
        <w:rPr>
          <w:rFonts w:hint="eastAsia" w:ascii="仿宋" w:hAnsi="仿宋" w:eastAsia="仿宋" w:cs="Arial"/>
          <w:sz w:val="28"/>
          <w:szCs w:val="28"/>
          <w:lang w:val="en-US" w:eastAsia="zh-CN"/>
        </w:rPr>
        <w:t>。被保险人在等待期内经医院确诊初次发生重大疾病的，保险人不承担给付保险金的责任。对投保人返还该被保险人对应的所交保险费的，对该被保险人保险责任终止。保险合同有效期内，除等待期期间依前款约定外，保险人承担下列保险责任：被保险人经医院确诊初次发生重大疾病的，保险人按其保险金额给付重大疾病保险金，对该被保险人该项保险责任终止。被保险人在投保前发生重大疾病的，保险人不承担给付保险金的责任。</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3.补充高额住院医疗</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因疾病住院，基本医疗保险报销费用达到封顶线，进入大病互助保险报销后，个人自付部分（含部分自付）按照90%予以赔付。</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4.疾病门诊医疗</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投保人为被保险人首次投保本保险或非连续投保本保险时，自</w:t>
      </w:r>
      <w:r>
        <w:rPr>
          <w:rFonts w:hint="eastAsia" w:ascii="仿宋" w:hAnsi="仿宋" w:eastAsia="仿宋" w:cs="Arial"/>
          <w:color w:val="FF0000"/>
          <w:sz w:val="28"/>
          <w:szCs w:val="28"/>
          <w:u w:val="single"/>
        </w:rPr>
        <w:t>招标人和投标人签订的</w:t>
      </w:r>
      <w:r>
        <w:rPr>
          <w:rFonts w:hint="eastAsia" w:ascii="仿宋" w:hAnsi="仿宋" w:eastAsia="仿宋" w:cs="Arial"/>
          <w:b w:val="0"/>
          <w:bCs w:val="0"/>
          <w:color w:val="FF0000"/>
          <w:sz w:val="28"/>
          <w:szCs w:val="28"/>
          <w:u w:val="single"/>
        </w:rPr>
        <w:t>员工补充医疗保险协议</w:t>
      </w:r>
      <w:r>
        <w:rPr>
          <w:rFonts w:hint="eastAsia" w:ascii="仿宋" w:hAnsi="仿宋" w:eastAsia="仿宋" w:cs="Arial"/>
          <w:color w:val="FF0000"/>
          <w:sz w:val="28"/>
          <w:szCs w:val="28"/>
          <w:u w:val="single"/>
        </w:rPr>
        <w:t>（以下简称“保险协议”）</w:t>
      </w:r>
      <w:r>
        <w:rPr>
          <w:rFonts w:hint="eastAsia" w:ascii="仿宋" w:hAnsi="仿宋" w:eastAsia="仿宋" w:cs="Arial"/>
          <w:sz w:val="28"/>
          <w:szCs w:val="28"/>
          <w:lang w:val="en-US" w:eastAsia="zh-CN"/>
        </w:rPr>
        <w:t>生效日起15日为等待期，</w:t>
      </w:r>
      <w:r>
        <w:rPr>
          <w:rFonts w:hint="eastAsia" w:ascii="仿宋" w:hAnsi="仿宋" w:eastAsia="仿宋" w:cs="Arial"/>
          <w:color w:val="FF0000"/>
          <w:sz w:val="28"/>
          <w:szCs w:val="28"/>
          <w:highlight w:val="yellow"/>
          <w:lang w:val="en-US" w:eastAsia="zh-CN"/>
        </w:rPr>
        <w:t>续保人员均无等待期</w:t>
      </w:r>
      <w:r>
        <w:rPr>
          <w:rFonts w:hint="eastAsia" w:ascii="仿宋" w:hAnsi="仿宋" w:eastAsia="仿宋" w:cs="Arial"/>
          <w:sz w:val="28"/>
          <w:szCs w:val="28"/>
          <w:lang w:val="en-US" w:eastAsia="zh-CN"/>
        </w:rPr>
        <w:t xml:space="preserve">。被保险人在等待期内发生疾病，由此而导致的门诊急诊治疗，保险人不承担给付保险金的责任。 </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 xml:space="preserve">在保险协议有效期内，除等待期期间依前款约定外，保险人承担下列保险责任： </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因遭受疾病，每次在医院治疗发生的、符合当地社会基本医疗保险规定的、合理的门诊急诊医疗费用，保险人按约定的每次免赔额、每次合理医疗费用发生限额及每次给付比例给付门诊急诊医疗保险金。每日门诊次数以一次为限。</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被保险人不论一次或多次接受门诊急诊治疗，保险人均按上述约定给付门诊急诊医疗保险金，但累计给付金额以该被保险人的保险金额为限，累计给付金额达到其保险金额时，对该被保险人该项保险责任终止。</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保险人在保险协议保险责任范围内给付保险金，但若被保险人已从其他途径（包括但不限于社会医疗保险、公费医疗、工作单位、侵权人或侵权责任承担方、保险人在内的任何保险机构）获得补偿，对于与当地社会医疗保险支付范围相符的合理的门诊急诊医疗费用，保险人在扣除其他途径已获得的补偿后，对于剩余部分费用根据保险协议约定在该被保险人的保险金额的限额内按照约定的每次免赔额、每次合理医疗费用发生限额及每次给付比例给付门诊急诊医疗保险金。</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5.意外医疗</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每次因遭受意外事故并在医院进行治疗的，保险人就其该次意外事故发生之日起180日内发生的、符合当地社会基本医疗保险规定的合理医疗费用，在扣除约定的免赔额后，按约定的给付比例给付意外医疗保险金。</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不论一次或多次遭受意外事故而造成合理医疗费用的，保险人均按上述约定分别给付意外医疗保险金，但累计给付金额以该被保险人的意外医疗保险金额为限，累计给付金额达到其意外医疗保险金额时，对该被保险人的保险责任终止。</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保险人在保险协议保险责任范围内给付保险金，但若被保险人已从其他途径（包括但不限于社会医疗保险、公费 医疗、工作单位、侵权人或侵权责任承担方、保险人在内的任何保险机构）获得补偿，对于与当地社会医疗保险支付范围相符的合理医疗费用，保险人在扣除其他途径已获得的补偿后，对于剩余部分费用根据保险协议约定在该被保险人的保险金额的限额内按照约定的免赔额和给付比例给付意外医疗保险金。被保险人如在境外就医的，保险协议保险责任范围内的合理医疗费用按国内当地相同治疗的平均水平确定。</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6.疾病身故</w:t>
      </w:r>
    </w:p>
    <w:p>
      <w:pPr>
        <w:tabs>
          <w:tab w:val="left" w:pos="6210"/>
        </w:tabs>
        <w:spacing w:line="480" w:lineRule="exact"/>
        <w:ind w:firstLine="560" w:firstLineChars="200"/>
        <w:rPr>
          <w:rFonts w:hint="eastAsia"/>
          <w:lang w:val="en-US" w:eastAsia="zh-CN"/>
        </w:rPr>
      </w:pPr>
      <w:r>
        <w:rPr>
          <w:rFonts w:hint="eastAsia" w:ascii="仿宋" w:hAnsi="仿宋" w:eastAsia="仿宋" w:cs="Arial"/>
          <w:sz w:val="28"/>
          <w:szCs w:val="28"/>
          <w:lang w:val="en-US" w:eastAsia="zh-CN"/>
        </w:rPr>
        <w:t>被保险人因疾病导致的身故，保险人按其保险金额给付身故保险金，对该被保险人的该项保险责任终止。</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7.意外伤害身故/残疾</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被保险人因遭受意外事故，并自事故发生之日起180日内因该事故身故的，保险人按其意外伤害保险金额给付意外身故保险金，对该被保险人的该项保险责任终止。</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被保险人因遭受意外事故，并自事故发生之日起180日内因该事故造成《人身保险伤残评定标准》中1-10级所列残疾的，保险人按一级100%、二级90%、三级80%、四级70%、五级60%、六级50%、七级40%、八级30%、 九级20%、十级10%的比例乘以其意外伤害保险金额给付意外残疾保险金。如治疗仍未结束的，按事故发生之日起第180日的身体情况进行残疾鉴定，并据此给付意外残疾保险金。</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因同一意外事故造成“残疾程度与给付比例表”所列残疾程度两项以上的，保险人给付各对应项意外残疾保险金之和。但不同残疾项目属于同一上肢或同一下肢时，仅给付一项意外残疾保险金；若残疾项目所属残疾程度不同时，给付较严重程度的残疾项目的意外残疾保险金。</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被保险人该次意外事故导致的残疾合并前次残疾可领较严重项目意外残疾保险金的，按较严重项目标准给付，但前次已给付的意外残疾保险金（投保前已有或因责任免除事项所致“残疾程度与给付比例表”所列残疾的，视为已给付意外残疾保险金）应予以扣除。</w:t>
      </w:r>
    </w:p>
    <w:p>
      <w:pPr>
        <w:tabs>
          <w:tab w:val="left" w:pos="6210"/>
        </w:tabs>
        <w:spacing w:line="48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每一被保险人的意外身故保险金及意外残疾保险金的累计给付金额以该被保险人的意外伤害保险金额为限，累计给付金额达到其意外伤害保险金额时，对该被保险人的该项保险责任终止。</w:t>
      </w:r>
    </w:p>
    <w:p>
      <w:pPr>
        <w:widowControl w:val="0"/>
        <w:numPr>
          <w:ilvl w:val="0"/>
          <w:numId w:val="0"/>
        </w:numPr>
        <w:tabs>
          <w:tab w:val="left" w:pos="6210"/>
        </w:tabs>
        <w:wordWrap/>
        <w:adjustRightInd/>
        <w:snapToGrid/>
        <w:spacing w:before="0" w:after="0" w:line="520" w:lineRule="exact"/>
        <w:ind w:left="0" w:leftChars="0" w:firstLine="602" w:firstLineChars="200"/>
        <w:jc w:val="both"/>
        <w:textAlignment w:val="auto"/>
        <w:outlineLvl w:val="9"/>
        <w:rPr>
          <w:rFonts w:hint="eastAsia" w:ascii="仿宋" w:hAnsi="仿宋" w:eastAsia="仿宋" w:cs="仿宋"/>
          <w:b/>
          <w:bCs w:val="0"/>
          <w:i w:val="0"/>
          <w:color w:val="000000"/>
          <w:kern w:val="0"/>
          <w:sz w:val="30"/>
          <w:szCs w:val="30"/>
          <w:u w:val="none"/>
          <w:lang w:val="en-US" w:eastAsia="zh-CN"/>
        </w:rPr>
      </w:pPr>
      <w:r>
        <w:rPr>
          <w:rFonts w:hint="eastAsia" w:ascii="仿宋" w:hAnsi="仿宋" w:eastAsia="仿宋" w:cs="仿宋"/>
          <w:b/>
          <w:bCs w:val="0"/>
          <w:i w:val="0"/>
          <w:color w:val="000000"/>
          <w:kern w:val="0"/>
          <w:sz w:val="30"/>
          <w:szCs w:val="30"/>
          <w:u w:val="none"/>
          <w:lang w:val="en-US" w:eastAsia="zh-CN"/>
        </w:rPr>
        <w:t>8.交通意外身故</w:t>
      </w:r>
    </w:p>
    <w:p>
      <w:pPr>
        <w:widowControl w:val="0"/>
        <w:numPr>
          <w:ilvl w:val="0"/>
          <w:numId w:val="0"/>
        </w:numPr>
        <w:tabs>
          <w:tab w:val="left" w:pos="6210"/>
        </w:tabs>
        <w:wordWrap/>
        <w:adjustRightInd/>
        <w:snapToGrid/>
        <w:spacing w:before="0" w:after="0" w:line="520" w:lineRule="exact"/>
        <w:ind w:left="0" w:leftChars="0" w:firstLine="560" w:firstLineChars="200"/>
        <w:jc w:val="both"/>
        <w:textAlignment w:val="auto"/>
        <w:outlineLvl w:val="9"/>
        <w:rPr>
          <w:rFonts w:hint="eastAsia" w:ascii="仿宋" w:hAnsi="仿宋" w:eastAsia="仿宋" w:cs="仿宋"/>
          <w:b w:val="0"/>
          <w:bCs/>
          <w:i w:val="0"/>
          <w:color w:val="000000"/>
          <w:kern w:val="0"/>
          <w:sz w:val="30"/>
          <w:szCs w:val="30"/>
          <w:u w:val="none"/>
          <w:lang w:val="en-US" w:eastAsia="zh-CN"/>
        </w:rPr>
      </w:pPr>
      <w:r>
        <w:rPr>
          <w:rFonts w:hint="eastAsia" w:ascii="仿宋" w:hAnsi="仿宋" w:eastAsia="仿宋" w:cs="Arial"/>
          <w:sz w:val="28"/>
          <w:szCs w:val="28"/>
          <w:lang w:val="en-US" w:eastAsia="zh-CN"/>
        </w:rPr>
        <w:t>被保险人以乘客身份在乘坐所投保的客运公共交通工具期间因遭受意外事故，并自事故发生之日起180日内因该事故身故的，保险人按其所投保的客运公共交通工具意外伤害保险金额给付意外身故保险金，对该被保险人该项保险责任终止</w:t>
      </w:r>
      <w:r>
        <w:rPr>
          <w:rFonts w:hint="eastAsia" w:ascii="仿宋" w:hAnsi="仿宋" w:eastAsia="仿宋" w:cs="仿宋"/>
          <w:b w:val="0"/>
          <w:bCs/>
          <w:i w:val="0"/>
          <w:color w:val="000000"/>
          <w:kern w:val="0"/>
          <w:sz w:val="30"/>
          <w:szCs w:val="30"/>
          <w:u w:val="none"/>
          <w:lang w:val="en-US" w:eastAsia="zh-CN"/>
        </w:rPr>
        <w:t>。</w:t>
      </w:r>
    </w:p>
    <w:p>
      <w:pPr>
        <w:pStyle w:val="2"/>
        <w:rPr>
          <w:rFonts w:hint="eastAsia"/>
        </w:rPr>
      </w:pP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7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1986"/>
    <w:rsid w:val="065365A0"/>
    <w:rsid w:val="0B701BCA"/>
    <w:rsid w:val="0F8116B9"/>
    <w:rsid w:val="12EE437C"/>
    <w:rsid w:val="131414C0"/>
    <w:rsid w:val="18E63D22"/>
    <w:rsid w:val="251046BE"/>
    <w:rsid w:val="2EAD35A2"/>
    <w:rsid w:val="366C2920"/>
    <w:rsid w:val="50287BD5"/>
    <w:rsid w:val="54F746CE"/>
    <w:rsid w:val="5EA15277"/>
    <w:rsid w:val="6A2942FD"/>
    <w:rsid w:val="70274955"/>
    <w:rsid w:val="75D27112"/>
    <w:rsid w:val="781E110A"/>
    <w:rsid w:val="7B1F3C13"/>
    <w:rsid w:val="7EF331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semiHidden/>
    <w:unhideWhenUsed/>
    <w:qFormat/>
    <w:uiPriority w:val="99"/>
    <w:pPr>
      <w:spacing w:after="120"/>
      <w:ind w:left="420" w:leftChars="200"/>
    </w:pPr>
    <w:rPr>
      <w:rFonts w:ascii="Times New Roman" w:hAnsi="Times New Roman"/>
      <w:sz w:val="28"/>
      <w:szCs w:val="28"/>
    </w:rPr>
  </w:style>
  <w:style w:type="paragraph" w:styleId="4">
    <w:name w:val="annotation subject"/>
    <w:basedOn w:val="5"/>
    <w:next w:val="1"/>
    <w:unhideWhenUsed/>
    <w:qFormat/>
    <w:uiPriority w:val="99"/>
    <w:rPr>
      <w:b/>
      <w:bCs/>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font21"/>
    <w:basedOn w:val="9"/>
    <w:qFormat/>
    <w:uiPriority w:val="0"/>
    <w:rPr>
      <w:rFonts w:ascii="font-weight : 700" w:hAnsi="font-weight : 700" w:eastAsia="font-weight : 700" w:cs="font-weight : 700"/>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2021-07-28T07:36:00Z</dcterms:created>
  <dc:creator>chinalife</dc:creator>
  <cp:lastModifiedBy>吴莹莹</cp:lastModifiedBy>
  <cp:lastPrinted>2024-09-13T03:46:00Z</cp:lastPrinted>
  <dcterms:modified xsi:type="dcterms:W3CDTF">2024-10-12T07:21:59Z</dcterms:modified>
  <dc:title>议案1：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6CD8AAC298344A42846C1E78D8F115D4</vt:lpwstr>
  </property>
</Properties>
</file>