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46CB0">
      <w:pPr>
        <w:rPr>
          <w:rFonts w:hint="eastAsia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附件2：长沙农村商业银行信息科技风险全面评估服务内容</w:t>
      </w:r>
    </w:p>
    <w:p w14:paraId="61F57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《信息安全技术 信息安全风险评估方法》（GBT 20984-2022）、和《数据安全技术 数据安全风险评估方法》（GBT 45577-2025）等国家标准要求开展本次信息科技风险全面评估工作，评估工作内容包括但不限于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2"/>
        </w:rPr>
        <w:t>信息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安全和数据安全合规差异性分析、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2"/>
        </w:rPr>
        <w:t>信息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安全和数据安全管理体系的完善、资产识别、数据的分类分级、风险识别（脆弱性识别、威胁识别、现有安全措施识别）、风险分析、风险评估总结报告、协助风险整改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3"/>
        </w:rPr>
        <w:t>等内容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，具体如下：</w:t>
      </w:r>
    </w:p>
    <w:p w14:paraId="2E6138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（一）</w:t>
      </w:r>
      <w:r>
        <w:rPr>
          <w:rFonts w:hint="default" w:ascii="楷体" w:hAnsi="楷体" w:eastAsia="楷体" w:cs="楷体"/>
          <w:kern w:val="2"/>
          <w:sz w:val="28"/>
          <w:szCs w:val="28"/>
          <w:lang w:eastAsia="zh-CN" w:bidi="ar-SA"/>
          <w:woUserID w:val="2"/>
        </w:rPr>
        <w:t>信息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安全和数据安全差异性分析</w:t>
      </w:r>
    </w:p>
    <w:p w14:paraId="3079C7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分析总结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当前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信息安全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数据安全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合规状态，综合评价整体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信息安全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数据安全建设水平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B8DBD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安全管理体系的完善</w:t>
      </w:r>
    </w:p>
    <w:p w14:paraId="33209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针对信息科技中的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2"/>
        </w:rPr>
        <w:t>信息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安全管理体系和数据安全管理体系，完善包括但不限于配套的组织架构、管理体系、管理制度、治理评估、应急预案等方面的建设内容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41F4E7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资产识别</w:t>
      </w:r>
    </w:p>
    <w:p w14:paraId="025CB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按照国家标准《信息安全技术 信息安全风险评估方法》（GBT 20984-2022）中的资产分类方法，将我行的所有信息科技资产按业务资产、系统资源、系统组件和单元资产进行分类识别。</w:t>
      </w:r>
    </w:p>
    <w:p w14:paraId="2876F6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（四）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数据的分类分级</w:t>
      </w:r>
    </w:p>
    <w:p w14:paraId="7EC8D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按照最新完善的《数据分类分级管理办法》，对我行数据进行分类分级，并整理输出结果清单。</w:t>
      </w:r>
    </w:p>
    <w:p w14:paraId="5F15B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（五）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风险识别</w:t>
      </w:r>
    </w:p>
    <w:p w14:paraId="712CB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按照前述国家标准文件，分别从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信息安全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和数据安全的维度对我行信息科技面临的风险进行识别，包括脆弱性识别、威胁识别、现有安全措施识别。</w:t>
      </w:r>
    </w:p>
    <w:p w14:paraId="17DDF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（六）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风险分析</w:t>
      </w:r>
    </w:p>
    <w:p w14:paraId="0DAF7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对资产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威胁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脆弱性及其各项属性进行关联分析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综合进行风险分析和计算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并给出控制和管理风险的建议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B8C8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（七）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风险评估报告</w:t>
      </w:r>
    </w:p>
    <w:p w14:paraId="266E6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编写全面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真实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准确</w:t>
      </w:r>
      <w:r>
        <w:rPr>
          <w:rFonts w:hint="default" w:ascii="仿宋" w:hAnsi="仿宋" w:eastAsia="仿宋" w:cs="仿宋"/>
          <w:sz w:val="28"/>
          <w:szCs w:val="28"/>
          <w:lang w:eastAsia="zh-Hans"/>
          <w:woUserID w:val="2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《</w:t>
      </w:r>
      <w:r>
        <w:rPr>
          <w:rFonts w:hint="default" w:ascii="仿宋" w:hAnsi="仿宋" w:eastAsia="仿宋" w:cs="仿宋"/>
          <w:sz w:val="28"/>
          <w:szCs w:val="28"/>
          <w:lang w:eastAsia="zh-Hans"/>
          <w:woUserID w:val="2"/>
        </w:rPr>
        <w:t>信息科技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风险</w:t>
      </w:r>
      <w:r>
        <w:rPr>
          <w:rFonts w:hint="default" w:ascii="仿宋" w:hAnsi="仿宋" w:eastAsia="仿宋" w:cs="仿宋"/>
          <w:sz w:val="28"/>
          <w:szCs w:val="28"/>
          <w:lang w:eastAsia="zh-Hans"/>
          <w:woUserID w:val="2"/>
        </w:rPr>
        <w:t>全面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评估报告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》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安全整改建议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》</w:t>
      </w:r>
      <w:r>
        <w:rPr>
          <w:rFonts w:hint="default" w:ascii="仿宋" w:hAnsi="仿宋" w:eastAsia="仿宋" w:cs="仿宋"/>
          <w:sz w:val="28"/>
          <w:szCs w:val="28"/>
          <w:lang w:eastAsia="zh-Hans"/>
          <w:woUserID w:val="2"/>
        </w:rPr>
        <w:t>，并根据相关监管要求，编写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2"/>
        </w:rPr>
        <w:t>网络和系统安全、数据安全、个人信息安全、供应链安全、新技术新应用安全方面的</w:t>
      </w:r>
      <w:r>
        <w:rPr>
          <w:rFonts w:hint="eastAsia" w:ascii="仿宋" w:hAnsi="仿宋" w:eastAsia="仿宋" w:cs="仿宋"/>
          <w:sz w:val="28"/>
          <w:szCs w:val="28"/>
          <w:lang w:eastAsia="zh-Hans"/>
          <w:woUserID w:val="2"/>
        </w:rPr>
        <w:t>《</w:t>
      </w:r>
      <w:r>
        <w:rPr>
          <w:rFonts w:hint="default" w:ascii="仿宋" w:hAnsi="仿宋" w:eastAsia="仿宋" w:cs="仿宋"/>
          <w:sz w:val="28"/>
          <w:szCs w:val="28"/>
          <w:lang w:eastAsia="zh-Hans"/>
          <w:woUserID w:val="2"/>
        </w:rPr>
        <w:t>专项</w:t>
      </w:r>
      <w:r>
        <w:rPr>
          <w:rFonts w:hint="eastAsia" w:ascii="仿宋" w:hAnsi="仿宋" w:eastAsia="仿宋" w:cs="仿宋"/>
          <w:sz w:val="28"/>
          <w:szCs w:val="28"/>
          <w:lang w:val="en-US" w:eastAsia="zh-Hans"/>
          <w:woUserID w:val="2"/>
        </w:rPr>
        <w:t>风险评估报告</w:t>
      </w:r>
      <w:r>
        <w:rPr>
          <w:rFonts w:hint="eastAsia" w:ascii="仿宋" w:hAnsi="仿宋" w:eastAsia="仿宋" w:cs="仿宋"/>
          <w:sz w:val="28"/>
          <w:szCs w:val="28"/>
          <w:lang w:eastAsia="zh-Hans"/>
          <w:woUserID w:val="2"/>
        </w:rPr>
        <w:t>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48C39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（八）协助风险整改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及再评估</w:t>
      </w:r>
    </w:p>
    <w:p w14:paraId="6CC79BF6">
      <w:pPr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完成对不可接受风险的整改，针对风险点整改修复情况进行再评估。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D1E9A"/>
    <w:rsid w:val="5E3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</dc:creator>
  <cp:lastModifiedBy>zhang</cp:lastModifiedBy>
  <dcterms:modified xsi:type="dcterms:W3CDTF">2025-09-18T02:46:06Z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06E4DC5CD05F46658F377AF88A2D02BA_12</vt:lpwstr>
  </property>
</Properties>
</file>